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5367B" w14:textId="77777777" w:rsidR="009B5F46" w:rsidRDefault="6B8F5665" w:rsidP="00636EEC">
      <w:pPr>
        <w:rPr>
          <w:rFonts w:asciiTheme="majorHAnsi" w:hAnsiTheme="majorHAnsi"/>
          <w:sz w:val="24"/>
          <w:szCs w:val="24"/>
        </w:rPr>
      </w:pPr>
      <w:bookmarkStart w:id="0" w:name="_GoBack"/>
      <w:bookmarkEnd w:id="0"/>
      <w:r w:rsidRPr="6B8F5665">
        <w:rPr>
          <w:rFonts w:asciiTheme="majorHAnsi" w:eastAsiaTheme="majorEastAsia" w:hAnsiTheme="majorHAnsi" w:cstheme="majorBidi"/>
          <w:sz w:val="24"/>
          <w:szCs w:val="24"/>
        </w:rPr>
        <w:t>PART I.</w:t>
      </w:r>
    </w:p>
    <w:p w14:paraId="1A7EACAD" w14:textId="39B3190A" w:rsidR="00DF43F8" w:rsidRPr="004B6122" w:rsidRDefault="6B8F5665" w:rsidP="00636EEC">
      <w:pPr>
        <w:rPr>
          <w:rFonts w:asciiTheme="majorHAnsi" w:hAnsiTheme="majorHAnsi"/>
          <w:sz w:val="24"/>
          <w:szCs w:val="24"/>
        </w:rPr>
      </w:pPr>
      <w:r w:rsidRPr="6B8F5665">
        <w:rPr>
          <w:rFonts w:asciiTheme="majorHAnsi" w:eastAsiaTheme="majorEastAsia" w:hAnsiTheme="majorHAnsi" w:cstheme="majorBidi"/>
          <w:sz w:val="24"/>
          <w:szCs w:val="24"/>
        </w:rPr>
        <w:t>GENERAL GUIDELINES FOR DEALING WITH CONFLICT OR ETHICAL BREACHES IN THE SANGHA</w:t>
      </w:r>
    </w:p>
    <w:p w14:paraId="733A308D" w14:textId="77777777" w:rsidR="00DF43F8" w:rsidRPr="004B6122" w:rsidRDefault="6B8F5665" w:rsidP="00F738A9">
      <w:pPr>
        <w:spacing w:after="0" w:line="240" w:lineRule="auto"/>
        <w:rPr>
          <w:rFonts w:asciiTheme="majorHAnsi" w:hAnsiTheme="majorHAnsi"/>
          <w:sz w:val="24"/>
          <w:szCs w:val="24"/>
        </w:rPr>
      </w:pPr>
      <w:r w:rsidRPr="6B8F5665">
        <w:rPr>
          <w:rFonts w:asciiTheme="majorHAnsi" w:eastAsiaTheme="majorEastAsia" w:hAnsiTheme="majorHAnsi" w:cstheme="majorBidi"/>
          <w:sz w:val="24"/>
          <w:szCs w:val="24"/>
        </w:rPr>
        <w:t>When difficulty, conflict or an ethical breach arises, these guidelines are offered as a</w:t>
      </w:r>
    </w:p>
    <w:p w14:paraId="224AF985" w14:textId="77777777" w:rsidR="00DF43F8" w:rsidRPr="004B6122" w:rsidRDefault="6B8F5665" w:rsidP="00F738A9">
      <w:pPr>
        <w:spacing w:after="0" w:line="240" w:lineRule="auto"/>
        <w:rPr>
          <w:rFonts w:asciiTheme="majorHAnsi" w:hAnsiTheme="majorHAnsi"/>
          <w:sz w:val="24"/>
          <w:szCs w:val="24"/>
        </w:rPr>
      </w:pPr>
      <w:r w:rsidRPr="6B8F5665">
        <w:rPr>
          <w:rFonts w:asciiTheme="majorHAnsi" w:eastAsiaTheme="majorEastAsia" w:hAnsiTheme="majorHAnsi" w:cstheme="majorBidi"/>
          <w:sz w:val="24"/>
          <w:szCs w:val="24"/>
        </w:rPr>
        <w:t>General outline for responding to the situation. They do not preclude using other</w:t>
      </w:r>
    </w:p>
    <w:p w14:paraId="5C5A7993" w14:textId="77777777" w:rsidR="00DF43F8" w:rsidRPr="004B6122" w:rsidRDefault="6B8F5665" w:rsidP="00F738A9">
      <w:pPr>
        <w:spacing w:after="0" w:line="240" w:lineRule="auto"/>
        <w:rPr>
          <w:rFonts w:asciiTheme="majorHAnsi" w:hAnsiTheme="majorHAnsi"/>
          <w:sz w:val="24"/>
          <w:szCs w:val="24"/>
        </w:rPr>
      </w:pPr>
      <w:r w:rsidRPr="6B8F5665">
        <w:rPr>
          <w:rFonts w:asciiTheme="majorHAnsi" w:eastAsiaTheme="majorEastAsia" w:hAnsiTheme="majorHAnsi" w:cstheme="majorBidi"/>
          <w:sz w:val="24"/>
          <w:szCs w:val="24"/>
        </w:rPr>
        <w:t>methods.</w:t>
      </w:r>
    </w:p>
    <w:p w14:paraId="33B2C0D3" w14:textId="77777777" w:rsidR="00F738A9" w:rsidRPr="004B6122" w:rsidRDefault="00F738A9" w:rsidP="00F738A9">
      <w:pPr>
        <w:spacing w:after="0" w:line="240" w:lineRule="auto"/>
        <w:rPr>
          <w:rFonts w:asciiTheme="majorHAnsi" w:hAnsiTheme="majorHAnsi"/>
          <w:sz w:val="24"/>
          <w:szCs w:val="24"/>
        </w:rPr>
      </w:pPr>
    </w:p>
    <w:p w14:paraId="6DF58E24" w14:textId="210A62FC" w:rsidR="00DF43F8" w:rsidRPr="004B6122" w:rsidRDefault="6B8F5665" w:rsidP="00F738A9">
      <w:pPr>
        <w:spacing w:after="0" w:line="240" w:lineRule="auto"/>
        <w:rPr>
          <w:rFonts w:asciiTheme="majorHAnsi" w:hAnsiTheme="majorHAnsi"/>
          <w:sz w:val="24"/>
          <w:szCs w:val="24"/>
        </w:rPr>
      </w:pPr>
      <w:r w:rsidRPr="6B8F5665">
        <w:rPr>
          <w:rFonts w:asciiTheme="majorHAnsi" w:eastAsiaTheme="majorEastAsia" w:hAnsiTheme="majorHAnsi" w:cstheme="majorBidi"/>
          <w:sz w:val="24"/>
          <w:szCs w:val="24"/>
        </w:rPr>
        <w:t>The intention of the</w:t>
      </w:r>
      <w:r w:rsidRPr="6B8F5665">
        <w:rPr>
          <w:rFonts w:asciiTheme="majorHAnsi" w:eastAsiaTheme="majorEastAsia" w:hAnsiTheme="majorHAnsi" w:cstheme="majorBidi"/>
          <w:color w:val="C0504D" w:themeColor="accent2"/>
          <w:sz w:val="24"/>
          <w:szCs w:val="24"/>
        </w:rPr>
        <w:t xml:space="preserve"> </w:t>
      </w:r>
      <w:r w:rsidRPr="6B8F5665">
        <w:rPr>
          <w:rFonts w:asciiTheme="majorHAnsi" w:eastAsiaTheme="majorEastAsia" w:hAnsiTheme="majorHAnsi" w:cstheme="majorBidi"/>
          <w:color w:val="000000" w:themeColor="text1"/>
          <w:sz w:val="24"/>
          <w:szCs w:val="24"/>
        </w:rPr>
        <w:t>Salt Spring Zen Circle</w:t>
      </w:r>
      <w:r w:rsidRPr="6B8F5665">
        <w:rPr>
          <w:rFonts w:asciiTheme="majorHAnsi" w:eastAsiaTheme="majorEastAsia" w:hAnsiTheme="majorHAnsi" w:cstheme="majorBidi"/>
          <w:sz w:val="24"/>
          <w:szCs w:val="24"/>
        </w:rPr>
        <w:t xml:space="preserve"> is to encourage and facilitate, on a</w:t>
      </w:r>
    </w:p>
    <w:p w14:paraId="29185136" w14:textId="0264791E" w:rsidR="00DF43F8" w:rsidRDefault="3CC282F7" w:rsidP="00F738A9">
      <w:pPr>
        <w:spacing w:after="0" w:line="240" w:lineRule="auto"/>
        <w:rPr>
          <w:rFonts w:asciiTheme="majorHAnsi" w:eastAsiaTheme="majorEastAsia" w:hAnsiTheme="majorHAnsi" w:cstheme="majorBidi"/>
          <w:sz w:val="24"/>
          <w:szCs w:val="24"/>
        </w:rPr>
      </w:pPr>
      <w:r w:rsidRPr="3CC282F7">
        <w:rPr>
          <w:rFonts w:asciiTheme="majorHAnsi" w:eastAsiaTheme="majorEastAsia" w:hAnsiTheme="majorHAnsi" w:cstheme="majorBidi"/>
          <w:sz w:val="24"/>
          <w:szCs w:val="24"/>
        </w:rPr>
        <w:t xml:space="preserve">personal and relational level, </w:t>
      </w:r>
      <w:r w:rsidRPr="3CC282F7">
        <w:rPr>
          <w:rFonts w:ascii="Cambria" w:eastAsia="Cambria" w:hAnsi="Cambria" w:cs="Cambria"/>
          <w:sz w:val="24"/>
          <w:szCs w:val="24"/>
        </w:rPr>
        <w:t xml:space="preserve">the work </w:t>
      </w:r>
      <w:r w:rsidRPr="3CC282F7">
        <w:rPr>
          <w:rFonts w:asciiTheme="majorHAnsi" w:eastAsiaTheme="majorEastAsia" w:hAnsiTheme="majorHAnsi" w:cstheme="majorBidi"/>
          <w:sz w:val="24"/>
          <w:szCs w:val="24"/>
        </w:rPr>
        <w:t>involved in transforming difficulty or conflict. It is rooted in the precepts (Part II), in our practice of studying the self (Part III)</w:t>
      </w:r>
      <w:r w:rsidRPr="3CC282F7">
        <w:rPr>
          <w:rFonts w:asciiTheme="majorHAnsi" w:eastAsiaTheme="majorEastAsia" w:hAnsiTheme="majorHAnsi" w:cstheme="majorBidi"/>
          <w:color w:val="000000" w:themeColor="text1"/>
          <w:sz w:val="24"/>
          <w:szCs w:val="24"/>
        </w:rPr>
        <w:t>, and in a p</w:t>
      </w:r>
      <w:r w:rsidRPr="3CC282F7">
        <w:rPr>
          <w:rFonts w:asciiTheme="majorHAnsi" w:eastAsiaTheme="majorEastAsia" w:hAnsiTheme="majorHAnsi" w:cstheme="majorBidi"/>
          <w:sz w:val="24"/>
          <w:szCs w:val="24"/>
        </w:rPr>
        <w:t>rocess for effective conflict resolution (Part IV).</w:t>
      </w:r>
    </w:p>
    <w:p w14:paraId="63871A8F" w14:textId="40236708" w:rsidR="009D35B8" w:rsidRPr="004B6122" w:rsidRDefault="00126647" w:rsidP="00F738A9">
      <w:pPr>
        <w:spacing w:after="0" w:line="240" w:lineRule="auto"/>
        <w:rPr>
          <w:rFonts w:asciiTheme="majorHAnsi" w:hAnsiTheme="majorHAnsi"/>
          <w:sz w:val="24"/>
          <w:szCs w:val="24"/>
        </w:rPr>
      </w:pPr>
      <w:r>
        <w:rPr>
          <w:rFonts w:asciiTheme="majorHAnsi" w:eastAsiaTheme="majorEastAsia" w:hAnsiTheme="majorHAnsi" w:cstheme="majorBidi"/>
          <w:sz w:val="24"/>
          <w:szCs w:val="24"/>
        </w:rPr>
        <w:t>For any advice or a</w:t>
      </w:r>
      <w:r w:rsidR="00D72FB4">
        <w:rPr>
          <w:rFonts w:asciiTheme="majorHAnsi" w:eastAsiaTheme="majorEastAsia" w:hAnsiTheme="majorHAnsi" w:cstheme="majorBidi"/>
          <w:sz w:val="24"/>
          <w:szCs w:val="24"/>
        </w:rPr>
        <w:t>ssistance, please contact Annika</w:t>
      </w:r>
      <w:r>
        <w:rPr>
          <w:rFonts w:asciiTheme="majorHAnsi" w:eastAsiaTheme="majorEastAsia" w:hAnsiTheme="majorHAnsi" w:cstheme="majorBidi"/>
          <w:sz w:val="24"/>
          <w:szCs w:val="24"/>
        </w:rPr>
        <w:t xml:space="preserve"> </w:t>
      </w:r>
      <w:r w:rsidR="001C17E7">
        <w:rPr>
          <w:rFonts w:asciiTheme="majorHAnsi" w:eastAsiaTheme="majorEastAsia" w:hAnsiTheme="majorHAnsi" w:cstheme="majorBidi"/>
          <w:sz w:val="24"/>
          <w:szCs w:val="24"/>
        </w:rPr>
        <w:t xml:space="preserve">Lund: </w:t>
      </w:r>
      <w:hyperlink r:id="rId9" w:history="1">
        <w:r w:rsidR="00D72FB4" w:rsidRPr="00040292">
          <w:rPr>
            <w:rStyle w:val="Hyperlink"/>
            <w:rFonts w:asciiTheme="majorHAnsi" w:eastAsiaTheme="majorEastAsia" w:hAnsiTheme="majorHAnsi" w:cstheme="majorBidi"/>
            <w:sz w:val="24"/>
            <w:szCs w:val="24"/>
          </w:rPr>
          <w:t>annika.lund@telus.net</w:t>
        </w:r>
      </w:hyperlink>
      <w:r w:rsidR="00D72FB4">
        <w:rPr>
          <w:rFonts w:asciiTheme="majorHAnsi" w:eastAsiaTheme="majorEastAsia" w:hAnsiTheme="majorHAnsi" w:cstheme="majorBidi"/>
          <w:sz w:val="24"/>
          <w:szCs w:val="24"/>
        </w:rPr>
        <w:t xml:space="preserve">  250-537-8333</w:t>
      </w:r>
      <w:r w:rsidR="004752B5">
        <w:rPr>
          <w:rFonts w:asciiTheme="majorHAnsi" w:eastAsiaTheme="majorEastAsia" w:hAnsiTheme="majorHAnsi" w:cstheme="majorBidi"/>
          <w:sz w:val="24"/>
          <w:szCs w:val="24"/>
        </w:rPr>
        <w:t>.</w:t>
      </w:r>
    </w:p>
    <w:p w14:paraId="150FA517" w14:textId="77777777" w:rsidR="00DF43F8" w:rsidRPr="004B6122" w:rsidRDefault="00DF43F8" w:rsidP="00F738A9">
      <w:pPr>
        <w:spacing w:after="0" w:line="240" w:lineRule="auto"/>
        <w:rPr>
          <w:rFonts w:asciiTheme="majorHAnsi" w:hAnsiTheme="majorHAnsi"/>
          <w:sz w:val="24"/>
          <w:szCs w:val="24"/>
        </w:rPr>
      </w:pPr>
    </w:p>
    <w:p w14:paraId="10D02CDF" w14:textId="2993914D" w:rsidR="00DF43F8" w:rsidRPr="00903913" w:rsidRDefault="6B8F5665" w:rsidP="00F738A9">
      <w:pPr>
        <w:pStyle w:val="ListParagraph"/>
        <w:numPr>
          <w:ilvl w:val="0"/>
          <w:numId w:val="5"/>
        </w:numPr>
        <w:spacing w:after="0" w:line="240" w:lineRule="auto"/>
        <w:rPr>
          <w:rFonts w:asciiTheme="majorHAnsi" w:eastAsiaTheme="majorEastAsia" w:hAnsiTheme="majorHAnsi" w:cstheme="majorBidi"/>
          <w:sz w:val="24"/>
          <w:szCs w:val="24"/>
        </w:rPr>
      </w:pPr>
      <w:r w:rsidRPr="6B8F5665">
        <w:rPr>
          <w:rFonts w:asciiTheme="majorHAnsi" w:eastAsiaTheme="majorEastAsia" w:hAnsiTheme="majorHAnsi" w:cstheme="majorBidi"/>
          <w:sz w:val="24"/>
          <w:szCs w:val="24"/>
        </w:rPr>
        <w:t>Those who are experiencing conflict or difficulty</w:t>
      </w:r>
      <w:r w:rsidR="00F71C0D">
        <w:rPr>
          <w:rFonts w:asciiTheme="majorHAnsi" w:eastAsiaTheme="majorEastAsia" w:hAnsiTheme="majorHAnsi" w:cstheme="majorBidi"/>
          <w:sz w:val="24"/>
          <w:szCs w:val="24"/>
        </w:rPr>
        <w:t xml:space="preserve"> with another sangha member or </w:t>
      </w:r>
      <w:r w:rsidR="00903913">
        <w:rPr>
          <w:rFonts w:asciiTheme="majorHAnsi" w:eastAsiaTheme="majorEastAsia" w:hAnsiTheme="majorHAnsi" w:cstheme="majorBidi"/>
          <w:sz w:val="24"/>
          <w:szCs w:val="24"/>
        </w:rPr>
        <w:t xml:space="preserve">the </w:t>
      </w:r>
      <w:r w:rsidR="00AF2FB9">
        <w:rPr>
          <w:rFonts w:asciiTheme="majorHAnsi" w:eastAsiaTheme="majorEastAsia" w:hAnsiTheme="majorHAnsi" w:cstheme="majorBidi"/>
          <w:sz w:val="24"/>
          <w:szCs w:val="24"/>
        </w:rPr>
        <w:t>teacher</w:t>
      </w:r>
      <w:r w:rsidRPr="6B8F5665">
        <w:rPr>
          <w:rFonts w:asciiTheme="majorHAnsi" w:eastAsiaTheme="majorEastAsia" w:hAnsiTheme="majorHAnsi" w:cstheme="majorBidi"/>
          <w:sz w:val="24"/>
          <w:szCs w:val="24"/>
        </w:rPr>
        <w:t xml:space="preserve"> are encouraged to take preliminary</w:t>
      </w:r>
      <w:r w:rsidR="00903913">
        <w:rPr>
          <w:rFonts w:asciiTheme="majorHAnsi" w:eastAsiaTheme="majorEastAsia" w:hAnsiTheme="majorHAnsi" w:cstheme="majorBidi"/>
          <w:sz w:val="24"/>
          <w:szCs w:val="24"/>
        </w:rPr>
        <w:t xml:space="preserve"> </w:t>
      </w:r>
      <w:r w:rsidRPr="00903913">
        <w:rPr>
          <w:rFonts w:asciiTheme="majorHAnsi" w:eastAsiaTheme="majorEastAsia" w:hAnsiTheme="majorHAnsi" w:cstheme="majorBidi"/>
          <w:sz w:val="24"/>
          <w:szCs w:val="24"/>
        </w:rPr>
        <w:t>steps of deepening self study, using the precepts, and what our Zen practice offers to both inform and benefit the process. (See Parts  II and III)</w:t>
      </w:r>
    </w:p>
    <w:p w14:paraId="24F64ABA" w14:textId="77777777" w:rsidR="00DF43F8" w:rsidRPr="004B6122" w:rsidRDefault="00DF43F8" w:rsidP="00F738A9">
      <w:pPr>
        <w:spacing w:after="0" w:line="240" w:lineRule="auto"/>
        <w:rPr>
          <w:rFonts w:asciiTheme="majorHAnsi" w:hAnsiTheme="majorHAnsi"/>
          <w:sz w:val="24"/>
          <w:szCs w:val="24"/>
        </w:rPr>
      </w:pPr>
    </w:p>
    <w:p w14:paraId="5E264775" w14:textId="77777777" w:rsidR="00DF43F8" w:rsidRPr="004B6122" w:rsidRDefault="6B8F5665" w:rsidP="6B8F5665">
      <w:pPr>
        <w:pStyle w:val="ListParagraph"/>
        <w:numPr>
          <w:ilvl w:val="0"/>
          <w:numId w:val="5"/>
        </w:numPr>
        <w:spacing w:after="0" w:line="240" w:lineRule="auto"/>
        <w:rPr>
          <w:rFonts w:asciiTheme="majorHAnsi" w:eastAsiaTheme="majorEastAsia" w:hAnsiTheme="majorHAnsi" w:cstheme="majorBidi"/>
          <w:sz w:val="24"/>
          <w:szCs w:val="24"/>
        </w:rPr>
      </w:pPr>
      <w:r w:rsidRPr="6B8F5665">
        <w:rPr>
          <w:rFonts w:asciiTheme="majorHAnsi" w:eastAsiaTheme="majorEastAsia" w:hAnsiTheme="majorHAnsi" w:cstheme="majorBidi"/>
          <w:sz w:val="24"/>
          <w:szCs w:val="24"/>
        </w:rPr>
        <w:t>Next, if appropriate, the person who feels the upset is encouraged to set up a place</w:t>
      </w:r>
    </w:p>
    <w:p w14:paraId="695C5017" w14:textId="77777777" w:rsidR="00DF43F8" w:rsidRPr="004B6122" w:rsidRDefault="6B8F5665" w:rsidP="00F738A9">
      <w:pPr>
        <w:spacing w:after="0" w:line="240" w:lineRule="auto"/>
        <w:rPr>
          <w:rFonts w:asciiTheme="majorHAnsi" w:hAnsiTheme="majorHAnsi"/>
          <w:sz w:val="24"/>
          <w:szCs w:val="24"/>
        </w:rPr>
      </w:pPr>
      <w:r w:rsidRPr="6B8F5665">
        <w:rPr>
          <w:rFonts w:asciiTheme="majorHAnsi" w:eastAsiaTheme="majorEastAsia" w:hAnsiTheme="majorHAnsi" w:cstheme="majorBidi"/>
          <w:sz w:val="24"/>
          <w:szCs w:val="24"/>
        </w:rPr>
        <w:t>and time to discuss the situation with the other person(s) involved. Preparing for this</w:t>
      </w:r>
    </w:p>
    <w:p w14:paraId="30911268" w14:textId="44D921B5" w:rsidR="00DF43F8" w:rsidRPr="004B6122" w:rsidRDefault="6B8F5665" w:rsidP="00F738A9">
      <w:pPr>
        <w:spacing w:after="0" w:line="240" w:lineRule="auto"/>
        <w:rPr>
          <w:rFonts w:asciiTheme="majorHAnsi" w:hAnsiTheme="majorHAnsi"/>
          <w:sz w:val="24"/>
          <w:szCs w:val="24"/>
        </w:rPr>
      </w:pPr>
      <w:r w:rsidRPr="6B8F5665">
        <w:rPr>
          <w:rFonts w:asciiTheme="majorHAnsi" w:eastAsiaTheme="majorEastAsia" w:hAnsiTheme="majorHAnsi" w:cstheme="majorBidi"/>
          <w:sz w:val="24"/>
          <w:szCs w:val="24"/>
        </w:rPr>
        <w:t xml:space="preserve">Discussion </w:t>
      </w:r>
      <w:r w:rsidRPr="6B8F5665">
        <w:rPr>
          <w:rFonts w:asciiTheme="majorHAnsi" w:eastAsiaTheme="majorEastAsia" w:hAnsiTheme="majorHAnsi" w:cstheme="majorBidi"/>
          <w:color w:val="000000" w:themeColor="text1"/>
          <w:sz w:val="24"/>
          <w:szCs w:val="24"/>
        </w:rPr>
        <w:t>by</w:t>
      </w:r>
      <w:r w:rsidRPr="6B8F5665">
        <w:rPr>
          <w:rFonts w:asciiTheme="majorHAnsi" w:eastAsiaTheme="majorEastAsia" w:hAnsiTheme="majorHAnsi" w:cstheme="majorBidi"/>
          <w:color w:val="C0504D" w:themeColor="accent2"/>
          <w:sz w:val="24"/>
          <w:szCs w:val="24"/>
        </w:rPr>
        <w:t xml:space="preserve"> </w:t>
      </w:r>
      <w:r w:rsidRPr="6B8F5665">
        <w:rPr>
          <w:rFonts w:asciiTheme="majorHAnsi" w:eastAsiaTheme="majorEastAsia" w:hAnsiTheme="majorHAnsi" w:cstheme="majorBidi"/>
          <w:sz w:val="24"/>
          <w:szCs w:val="24"/>
        </w:rPr>
        <w:t xml:space="preserve">using the information in Parts II and III will foster a mutually beneficial process and deepen our practice of right relationship. </w:t>
      </w:r>
    </w:p>
    <w:p w14:paraId="134B6FD1" w14:textId="77777777" w:rsidR="00DF43F8" w:rsidRPr="004B6122" w:rsidRDefault="00DF43F8" w:rsidP="00F738A9">
      <w:pPr>
        <w:spacing w:after="0" w:line="240" w:lineRule="auto"/>
        <w:rPr>
          <w:rFonts w:asciiTheme="majorHAnsi" w:hAnsiTheme="majorHAnsi"/>
          <w:sz w:val="24"/>
          <w:szCs w:val="24"/>
        </w:rPr>
      </w:pPr>
    </w:p>
    <w:p w14:paraId="35B71025" w14:textId="1F5BCB93" w:rsidR="00DF43F8" w:rsidRPr="004B6122" w:rsidRDefault="6B8F5665" w:rsidP="6B8F5665">
      <w:pPr>
        <w:pStyle w:val="ListParagraph"/>
        <w:numPr>
          <w:ilvl w:val="0"/>
          <w:numId w:val="5"/>
        </w:numPr>
        <w:spacing w:after="0" w:line="240" w:lineRule="auto"/>
        <w:rPr>
          <w:rFonts w:asciiTheme="majorHAnsi" w:eastAsiaTheme="majorEastAsia" w:hAnsiTheme="majorHAnsi" w:cstheme="majorBidi"/>
          <w:sz w:val="24"/>
          <w:szCs w:val="24"/>
        </w:rPr>
      </w:pPr>
      <w:r w:rsidRPr="6B8F5665">
        <w:rPr>
          <w:rFonts w:asciiTheme="majorHAnsi" w:eastAsiaTheme="majorEastAsia" w:hAnsiTheme="majorHAnsi" w:cstheme="majorBidi"/>
          <w:sz w:val="24"/>
          <w:szCs w:val="24"/>
        </w:rPr>
        <w:t>If preferred, or if the communication between the two people is very challenging or</w:t>
      </w:r>
    </w:p>
    <w:p w14:paraId="4E69E8A0" w14:textId="3C835893" w:rsidR="00DF43F8" w:rsidRPr="004B6122" w:rsidRDefault="6B8F5665" w:rsidP="00F738A9">
      <w:pPr>
        <w:spacing w:after="0" w:line="240" w:lineRule="auto"/>
        <w:rPr>
          <w:rFonts w:asciiTheme="majorHAnsi" w:hAnsiTheme="majorHAnsi"/>
          <w:sz w:val="24"/>
          <w:szCs w:val="24"/>
        </w:rPr>
      </w:pPr>
      <w:r w:rsidRPr="6B8F5665">
        <w:rPr>
          <w:rFonts w:asciiTheme="majorHAnsi" w:eastAsiaTheme="majorEastAsia" w:hAnsiTheme="majorHAnsi" w:cstheme="majorBidi"/>
          <w:sz w:val="24"/>
          <w:szCs w:val="24"/>
        </w:rPr>
        <w:t>impossible, those involved may consider asking a mutually acceptable third party (or parties) from the Sangha to facilitate this discussion. (See Part IV)</w:t>
      </w:r>
    </w:p>
    <w:p w14:paraId="0A6EA0D3" w14:textId="174B03CC" w:rsidR="00DF43F8" w:rsidRPr="00C9410B" w:rsidRDefault="00DF43F8" w:rsidP="00C9410B">
      <w:pPr>
        <w:spacing w:after="0" w:line="240" w:lineRule="auto"/>
        <w:rPr>
          <w:rFonts w:asciiTheme="majorHAnsi" w:hAnsiTheme="majorHAnsi"/>
          <w:sz w:val="24"/>
          <w:szCs w:val="24"/>
        </w:rPr>
      </w:pPr>
    </w:p>
    <w:p w14:paraId="2D0E52B4" w14:textId="79346943" w:rsidR="00DF43F8" w:rsidRPr="004B6122" w:rsidRDefault="6B8F5665" w:rsidP="2BBCC879">
      <w:pPr>
        <w:spacing w:line="240" w:lineRule="auto"/>
        <w:rPr>
          <w:rFonts w:asciiTheme="majorHAnsi" w:eastAsiaTheme="majorEastAsia" w:hAnsiTheme="majorHAnsi" w:cstheme="majorBidi"/>
          <w:sz w:val="24"/>
          <w:szCs w:val="24"/>
        </w:rPr>
      </w:pPr>
      <w:r w:rsidRPr="6B8F5665">
        <w:rPr>
          <w:rFonts w:asciiTheme="majorHAnsi" w:eastAsiaTheme="majorEastAsia" w:hAnsiTheme="majorHAnsi" w:cstheme="majorBidi"/>
          <w:sz w:val="24"/>
          <w:szCs w:val="24"/>
        </w:rPr>
        <w:t xml:space="preserve"> The situation could be, and in some cases should be, presented to the teacher, the Salt Spring Zen Circle's Alternative Dispute Resolution Group, or both for consultation.</w:t>
      </w:r>
    </w:p>
    <w:p w14:paraId="60813721" w14:textId="0B60A2EF" w:rsidR="00DF43F8" w:rsidRPr="004B6122" w:rsidRDefault="00DF43F8" w:rsidP="00DF43F8">
      <w:pPr>
        <w:pStyle w:val="ListParagraph"/>
        <w:spacing w:line="240" w:lineRule="auto"/>
        <w:ind w:left="1440"/>
        <w:rPr>
          <w:rFonts w:asciiTheme="majorHAnsi" w:hAnsiTheme="majorHAnsi"/>
          <w:sz w:val="24"/>
          <w:szCs w:val="24"/>
        </w:rPr>
      </w:pPr>
    </w:p>
    <w:p w14:paraId="129CB8B6" w14:textId="1FF7AC31" w:rsidR="00DF43F8" w:rsidRPr="005400E9" w:rsidRDefault="152D8AFF" w:rsidP="590AF813">
      <w:pPr>
        <w:pStyle w:val="ListParagraph"/>
        <w:numPr>
          <w:ilvl w:val="1"/>
          <w:numId w:val="5"/>
        </w:numPr>
        <w:spacing w:line="240" w:lineRule="auto"/>
        <w:rPr>
          <w:rFonts w:asciiTheme="majorHAnsi" w:eastAsiaTheme="majorEastAsia" w:hAnsiTheme="majorHAnsi" w:cstheme="majorBidi"/>
          <w:sz w:val="24"/>
          <w:szCs w:val="24"/>
        </w:rPr>
      </w:pPr>
      <w:r w:rsidRPr="152D8AFF">
        <w:rPr>
          <w:rFonts w:asciiTheme="majorHAnsi" w:eastAsiaTheme="majorEastAsia" w:hAnsiTheme="majorHAnsi" w:cstheme="majorBidi"/>
          <w:sz w:val="24"/>
          <w:szCs w:val="24"/>
        </w:rPr>
        <w:t>If the ethical concern or the conflict cannot be resolved by the parties - alone or with the teacher's help - two or three mutually acceptable Sangha members from the Salt Spring Zen Circle’s Alternative Dispute Resolution group who are free of conflict of interest, will be found to help resolve the issue.</w:t>
      </w:r>
    </w:p>
    <w:p w14:paraId="7419C0E3" w14:textId="77777777" w:rsidR="00DF43F8" w:rsidRPr="004B6122" w:rsidRDefault="00DF43F8" w:rsidP="00DF43F8">
      <w:pPr>
        <w:pStyle w:val="ListParagraph"/>
        <w:spacing w:line="240" w:lineRule="auto"/>
        <w:ind w:left="1440"/>
        <w:rPr>
          <w:rFonts w:asciiTheme="majorHAnsi" w:hAnsiTheme="majorHAnsi"/>
          <w:sz w:val="24"/>
          <w:szCs w:val="24"/>
        </w:rPr>
      </w:pPr>
    </w:p>
    <w:p w14:paraId="2DC50950" w14:textId="3B017AC9" w:rsidR="00CD62DA" w:rsidRPr="004B6122" w:rsidRDefault="6B8F5665" w:rsidP="6B8F5665">
      <w:pPr>
        <w:pStyle w:val="ListParagraph"/>
        <w:numPr>
          <w:ilvl w:val="1"/>
          <w:numId w:val="5"/>
        </w:numPr>
        <w:spacing w:line="240" w:lineRule="auto"/>
        <w:rPr>
          <w:rFonts w:asciiTheme="majorHAnsi" w:eastAsiaTheme="majorEastAsia" w:hAnsiTheme="majorHAnsi" w:cstheme="majorBidi"/>
          <w:sz w:val="24"/>
          <w:szCs w:val="24"/>
        </w:rPr>
      </w:pPr>
      <w:r w:rsidRPr="6B8F5665">
        <w:rPr>
          <w:rFonts w:asciiTheme="majorHAnsi" w:eastAsiaTheme="majorEastAsia" w:hAnsiTheme="majorHAnsi" w:cstheme="majorBidi"/>
          <w:sz w:val="24"/>
          <w:szCs w:val="24"/>
        </w:rPr>
        <w:t xml:space="preserve">If the two parties are interested, these Sangha members will meet with them first separately and then together. The focus will be on hearing each person’s point of view non-judgmentally, empathically and with compassion. A resolution will be sought that respects fundamental Buddhist precepts and the practice of Soto Zen as understood by the Salt Spring Zen </w:t>
      </w:r>
      <w:r w:rsidRPr="6B8F5665">
        <w:rPr>
          <w:rFonts w:asciiTheme="majorHAnsi" w:eastAsiaTheme="majorEastAsia" w:hAnsiTheme="majorHAnsi" w:cstheme="majorBidi"/>
          <w:color w:val="000000" w:themeColor="text1"/>
          <w:sz w:val="24"/>
          <w:szCs w:val="24"/>
        </w:rPr>
        <w:t>Circle</w:t>
      </w:r>
      <w:r w:rsidRPr="6B8F5665">
        <w:rPr>
          <w:rFonts w:asciiTheme="majorHAnsi" w:eastAsiaTheme="majorEastAsia" w:hAnsiTheme="majorHAnsi" w:cstheme="majorBidi"/>
          <w:sz w:val="24"/>
          <w:szCs w:val="24"/>
        </w:rPr>
        <w:t>. The resolution should</w:t>
      </w:r>
      <w:r w:rsidRPr="6B8F5665">
        <w:rPr>
          <w:rFonts w:asciiTheme="majorHAnsi" w:eastAsiaTheme="majorEastAsia" w:hAnsiTheme="majorHAnsi" w:cstheme="majorBidi"/>
          <w:color w:val="C0504D" w:themeColor="accent2"/>
          <w:sz w:val="24"/>
          <w:szCs w:val="24"/>
        </w:rPr>
        <w:t xml:space="preserve">, </w:t>
      </w:r>
      <w:r w:rsidRPr="6B8F5665">
        <w:rPr>
          <w:rFonts w:asciiTheme="majorHAnsi" w:eastAsiaTheme="majorEastAsia" w:hAnsiTheme="majorHAnsi" w:cstheme="majorBidi"/>
          <w:sz w:val="24"/>
          <w:szCs w:val="24"/>
        </w:rPr>
        <w:t>if possible</w:t>
      </w:r>
      <w:r w:rsidRPr="6B8F5665">
        <w:rPr>
          <w:rFonts w:asciiTheme="majorHAnsi" w:eastAsiaTheme="majorEastAsia" w:hAnsiTheme="majorHAnsi" w:cstheme="majorBidi"/>
          <w:color w:val="C0504D" w:themeColor="accent2"/>
          <w:sz w:val="24"/>
          <w:szCs w:val="24"/>
        </w:rPr>
        <w:t xml:space="preserve">, </w:t>
      </w:r>
      <w:r w:rsidRPr="6B8F5665">
        <w:rPr>
          <w:rFonts w:asciiTheme="majorHAnsi" w:eastAsiaTheme="majorEastAsia" w:hAnsiTheme="majorHAnsi" w:cstheme="majorBidi"/>
          <w:sz w:val="24"/>
          <w:szCs w:val="24"/>
        </w:rPr>
        <w:t>be agreed upon by both parties. A record will be kept of steps taken and the outcome by the members of the Alternative Dispute Resolution Group.</w:t>
      </w:r>
    </w:p>
    <w:p w14:paraId="74D175A4" w14:textId="1C8453C2" w:rsidR="00DF43F8" w:rsidRPr="004B6122" w:rsidRDefault="00DF43F8" w:rsidP="00DF43F8">
      <w:pPr>
        <w:pStyle w:val="ListParagraph"/>
        <w:spacing w:line="240" w:lineRule="auto"/>
        <w:ind w:left="1440"/>
        <w:rPr>
          <w:rFonts w:asciiTheme="majorHAnsi" w:hAnsiTheme="majorHAnsi"/>
          <w:sz w:val="24"/>
          <w:szCs w:val="24"/>
        </w:rPr>
      </w:pPr>
    </w:p>
    <w:p w14:paraId="483651BB" w14:textId="0B8C4E35" w:rsidR="00383179" w:rsidRPr="00C13311" w:rsidRDefault="6B8F5665" w:rsidP="6B8F5665">
      <w:pPr>
        <w:pStyle w:val="ListParagraph"/>
        <w:numPr>
          <w:ilvl w:val="0"/>
          <w:numId w:val="5"/>
        </w:numPr>
        <w:spacing w:line="240" w:lineRule="auto"/>
        <w:rPr>
          <w:rFonts w:asciiTheme="majorHAnsi" w:eastAsiaTheme="majorEastAsia" w:hAnsiTheme="majorHAnsi" w:cstheme="majorBidi"/>
          <w:sz w:val="24"/>
          <w:szCs w:val="24"/>
        </w:rPr>
      </w:pPr>
      <w:r w:rsidRPr="6B8F5665">
        <w:rPr>
          <w:rFonts w:asciiTheme="majorHAnsi" w:eastAsiaTheme="majorEastAsia" w:hAnsiTheme="majorHAnsi" w:cstheme="majorBidi"/>
          <w:sz w:val="24"/>
          <w:szCs w:val="24"/>
        </w:rPr>
        <w:t>In the event of suspected ethical breaches by a Sangha member which involve a civil legal dispute or are criminal in nature, see Appendix A.</w:t>
      </w:r>
    </w:p>
    <w:p w14:paraId="537A4819" w14:textId="1DFB1CAF" w:rsidR="4D6646EC" w:rsidRDefault="4D6646EC" w:rsidP="4D6646EC">
      <w:pPr>
        <w:spacing w:line="240" w:lineRule="auto"/>
      </w:pPr>
    </w:p>
    <w:p w14:paraId="7467615B" w14:textId="50A22EB3" w:rsidR="4D6646EC" w:rsidRDefault="4D6646EC" w:rsidP="4D6646EC">
      <w:pPr>
        <w:spacing w:line="240" w:lineRule="auto"/>
      </w:pPr>
    </w:p>
    <w:p w14:paraId="1022A231" w14:textId="111AA1CA" w:rsidR="4D6646EC" w:rsidRPr="003A7666" w:rsidRDefault="6B8F5665" w:rsidP="4D6646EC">
      <w:pPr>
        <w:spacing w:line="240" w:lineRule="auto"/>
        <w:jc w:val="center"/>
        <w:rPr>
          <w:sz w:val="24"/>
          <w:szCs w:val="24"/>
        </w:rPr>
      </w:pPr>
      <w:r w:rsidRPr="003A7666">
        <w:rPr>
          <w:rFonts w:asciiTheme="majorHAnsi" w:eastAsiaTheme="majorEastAsia" w:hAnsiTheme="majorHAnsi" w:cstheme="majorBidi"/>
          <w:sz w:val="24"/>
          <w:szCs w:val="24"/>
        </w:rPr>
        <w:t>Appendix A.</w:t>
      </w:r>
    </w:p>
    <w:p w14:paraId="55B95D85" w14:textId="2E058DEB" w:rsidR="4D6646EC" w:rsidRPr="003A7666" w:rsidRDefault="6B8F5665" w:rsidP="6B8F5665">
      <w:pPr>
        <w:pStyle w:val="ListParagraph"/>
        <w:numPr>
          <w:ilvl w:val="0"/>
          <w:numId w:val="1"/>
        </w:numPr>
        <w:spacing w:line="240" w:lineRule="auto"/>
        <w:rPr>
          <w:rFonts w:asciiTheme="majorHAnsi" w:eastAsiaTheme="majorEastAsia" w:hAnsiTheme="majorHAnsi" w:cstheme="majorBidi"/>
          <w:sz w:val="24"/>
          <w:szCs w:val="24"/>
        </w:rPr>
      </w:pPr>
      <w:r w:rsidRPr="003A7666">
        <w:rPr>
          <w:rFonts w:asciiTheme="majorHAnsi" w:eastAsiaTheme="majorEastAsia" w:hAnsiTheme="majorHAnsi" w:cstheme="majorBidi"/>
          <w:sz w:val="24"/>
          <w:szCs w:val="24"/>
        </w:rPr>
        <w:t xml:space="preserve"> Reporting child abuse in B.C. : </w:t>
      </w:r>
      <w:hyperlink r:id="rId10">
        <w:r w:rsidRPr="003A7666">
          <w:rPr>
            <w:rStyle w:val="Hyperlink"/>
            <w:sz w:val="24"/>
            <w:szCs w:val="24"/>
          </w:rPr>
          <w:t>http://www2.gov.bc.ca/gov/content/safety/public-safety/protecting-children/reporting-child-abuse</w:t>
        </w:r>
      </w:hyperlink>
    </w:p>
    <w:p w14:paraId="2F92FE8B" w14:textId="7C9294FC" w:rsidR="4D6646EC" w:rsidRPr="003A7666" w:rsidRDefault="6B8F5665" w:rsidP="6B8F5665">
      <w:pPr>
        <w:pStyle w:val="ListParagraph"/>
        <w:numPr>
          <w:ilvl w:val="0"/>
          <w:numId w:val="1"/>
        </w:numPr>
        <w:spacing w:line="240" w:lineRule="auto"/>
        <w:rPr>
          <w:rFonts w:asciiTheme="majorHAnsi" w:eastAsiaTheme="majorEastAsia" w:hAnsiTheme="majorHAnsi" w:cstheme="majorBidi"/>
          <w:sz w:val="24"/>
          <w:szCs w:val="24"/>
        </w:rPr>
      </w:pPr>
      <w:r w:rsidRPr="003A7666">
        <w:rPr>
          <w:rFonts w:asciiTheme="majorHAnsi" w:eastAsiaTheme="majorEastAsia" w:hAnsiTheme="majorHAnsi" w:cstheme="majorBidi"/>
          <w:sz w:val="24"/>
          <w:szCs w:val="24"/>
        </w:rPr>
        <w:t xml:space="preserve"> </w:t>
      </w:r>
      <w:r w:rsidRPr="003A7666">
        <w:rPr>
          <w:rFonts w:ascii="Cambria" w:eastAsia="Cambria" w:hAnsi="Cambria" w:cs="Cambria"/>
          <w:color w:val="000000" w:themeColor="text1"/>
          <w:sz w:val="24"/>
          <w:szCs w:val="24"/>
        </w:rPr>
        <w:t>Although it is not mandatory to report suspected crimes that do not involve children, it may help to avoid further injury and harm.</w:t>
      </w:r>
      <w:r w:rsidRPr="003A7666">
        <w:rPr>
          <w:rFonts w:ascii="Cambria" w:eastAsia="Cambria" w:hAnsi="Cambria" w:cs="Cambria"/>
          <w:sz w:val="24"/>
          <w:szCs w:val="24"/>
        </w:rPr>
        <w:t xml:space="preserve">  Reporting can also assist professionals in doing their job (gathering evidence etc.).</w:t>
      </w:r>
    </w:p>
    <w:p w14:paraId="0A6216CE" w14:textId="7E7B92A5" w:rsidR="4D6646EC" w:rsidRPr="003A7666" w:rsidRDefault="3CC282F7" w:rsidP="3CC282F7">
      <w:pPr>
        <w:pStyle w:val="ListParagraph"/>
        <w:numPr>
          <w:ilvl w:val="0"/>
          <w:numId w:val="1"/>
        </w:numPr>
        <w:spacing w:line="240" w:lineRule="auto"/>
        <w:rPr>
          <w:rFonts w:asciiTheme="majorHAnsi" w:eastAsiaTheme="majorEastAsia" w:hAnsiTheme="majorHAnsi" w:cstheme="majorBidi"/>
          <w:sz w:val="24"/>
          <w:szCs w:val="24"/>
        </w:rPr>
      </w:pPr>
      <w:r w:rsidRPr="003A7666">
        <w:rPr>
          <w:rFonts w:asciiTheme="majorHAnsi" w:eastAsiaTheme="majorEastAsia" w:hAnsiTheme="majorHAnsi" w:cstheme="majorBidi"/>
          <w:color w:val="000000" w:themeColor="text1"/>
          <w:sz w:val="24"/>
          <w:szCs w:val="24"/>
        </w:rPr>
        <w:t>Both intentionally</w:t>
      </w:r>
      <w:r w:rsidRPr="003A7666">
        <w:rPr>
          <w:rFonts w:asciiTheme="majorHAnsi" w:eastAsiaTheme="majorEastAsia" w:hAnsiTheme="majorHAnsi" w:cstheme="majorBidi"/>
          <w:color w:val="C04F4D"/>
          <w:sz w:val="24"/>
          <w:szCs w:val="24"/>
        </w:rPr>
        <w:t xml:space="preserve"> </w:t>
      </w:r>
      <w:r w:rsidRPr="003A7666">
        <w:rPr>
          <w:rFonts w:asciiTheme="majorHAnsi" w:eastAsiaTheme="majorEastAsia" w:hAnsiTheme="majorHAnsi" w:cstheme="majorBidi"/>
          <w:sz w:val="24"/>
          <w:szCs w:val="24"/>
        </w:rPr>
        <w:t>making false complaints, and obstructing police in their investigation of a suspected crim</w:t>
      </w:r>
      <w:r w:rsidRPr="003A7666">
        <w:rPr>
          <w:rFonts w:asciiTheme="majorHAnsi" w:eastAsiaTheme="majorEastAsia" w:hAnsiTheme="majorHAnsi" w:cstheme="majorBidi"/>
          <w:color w:val="000000" w:themeColor="text1"/>
          <w:sz w:val="24"/>
          <w:szCs w:val="24"/>
        </w:rPr>
        <w:t>e, are criminal offences.</w:t>
      </w:r>
    </w:p>
    <w:p w14:paraId="3BA33CF3" w14:textId="7997A836" w:rsidR="4D6646EC" w:rsidRPr="003A7666" w:rsidRDefault="3CC282F7" w:rsidP="3CC282F7">
      <w:pPr>
        <w:pStyle w:val="ListParagraph"/>
        <w:numPr>
          <w:ilvl w:val="0"/>
          <w:numId w:val="1"/>
        </w:numPr>
        <w:spacing w:line="240" w:lineRule="auto"/>
        <w:rPr>
          <w:rFonts w:asciiTheme="majorHAnsi" w:eastAsiaTheme="majorEastAsia" w:hAnsiTheme="majorHAnsi" w:cstheme="majorBidi"/>
          <w:sz w:val="24"/>
          <w:szCs w:val="24"/>
        </w:rPr>
      </w:pPr>
      <w:r w:rsidRPr="008E441C">
        <w:rPr>
          <w:rFonts w:asciiTheme="majorHAnsi" w:eastAsiaTheme="majorEastAsia" w:hAnsiTheme="majorHAnsi" w:cstheme="majorBidi"/>
          <w:sz w:val="24"/>
          <w:szCs w:val="24"/>
        </w:rPr>
        <w:t>Sometimes, after the law has been enforced, there is another opportunity to apply a relational, transform</w:t>
      </w:r>
      <w:r w:rsidR="008E441C" w:rsidRPr="008E441C">
        <w:rPr>
          <w:rFonts w:asciiTheme="majorHAnsi" w:eastAsiaTheme="majorEastAsia" w:hAnsiTheme="majorHAnsi" w:cstheme="majorBidi"/>
          <w:sz w:val="24"/>
          <w:szCs w:val="24"/>
        </w:rPr>
        <w:t>ational and forgiving approach.</w:t>
      </w:r>
    </w:p>
    <w:sectPr w:rsidR="4D6646EC" w:rsidRPr="003A766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CB967" w14:textId="77777777" w:rsidR="006238EA" w:rsidRDefault="006238EA" w:rsidP="00205E02">
      <w:pPr>
        <w:spacing w:after="0" w:line="240" w:lineRule="auto"/>
      </w:pPr>
      <w:r>
        <w:separator/>
      </w:r>
    </w:p>
  </w:endnote>
  <w:endnote w:type="continuationSeparator" w:id="0">
    <w:p w14:paraId="07D581CE" w14:textId="77777777" w:rsidR="006238EA" w:rsidRDefault="006238EA" w:rsidP="0020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3AA03" w14:textId="77777777" w:rsidR="006238EA" w:rsidRDefault="006238EA" w:rsidP="00205E02">
      <w:pPr>
        <w:spacing w:after="0" w:line="240" w:lineRule="auto"/>
      </w:pPr>
      <w:r>
        <w:separator/>
      </w:r>
    </w:p>
  </w:footnote>
  <w:footnote w:type="continuationSeparator" w:id="0">
    <w:p w14:paraId="5E3E2325" w14:textId="77777777" w:rsidR="006238EA" w:rsidRDefault="006238EA" w:rsidP="00205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04D1"/>
    <w:multiLevelType w:val="hybridMultilevel"/>
    <w:tmpl w:val="C5585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51A2CB7"/>
    <w:multiLevelType w:val="hybridMultilevel"/>
    <w:tmpl w:val="58B22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263710B"/>
    <w:multiLevelType w:val="hybridMultilevel"/>
    <w:tmpl w:val="FB045D64"/>
    <w:lvl w:ilvl="0" w:tplc="5C3CF29C">
      <w:start w:val="1"/>
      <w:numFmt w:val="decimal"/>
      <w:lvlText w:val="%1."/>
      <w:lvlJc w:val="left"/>
      <w:pPr>
        <w:ind w:left="720" w:hanging="360"/>
      </w:pPr>
    </w:lvl>
    <w:lvl w:ilvl="1" w:tplc="15EC6FEC">
      <w:start w:val="1"/>
      <w:numFmt w:val="lowerLetter"/>
      <w:lvlText w:val="%2."/>
      <w:lvlJc w:val="left"/>
      <w:pPr>
        <w:ind w:left="1440" w:hanging="360"/>
      </w:pPr>
    </w:lvl>
    <w:lvl w:ilvl="2" w:tplc="37F4DB7A">
      <w:start w:val="1"/>
      <w:numFmt w:val="lowerRoman"/>
      <w:lvlText w:val="%3."/>
      <w:lvlJc w:val="right"/>
      <w:pPr>
        <w:ind w:left="2160" w:hanging="180"/>
      </w:pPr>
    </w:lvl>
    <w:lvl w:ilvl="3" w:tplc="526EAC88">
      <w:start w:val="1"/>
      <w:numFmt w:val="decimal"/>
      <w:lvlText w:val="%4."/>
      <w:lvlJc w:val="left"/>
      <w:pPr>
        <w:ind w:left="2880" w:hanging="360"/>
      </w:pPr>
    </w:lvl>
    <w:lvl w:ilvl="4" w:tplc="8152886E">
      <w:start w:val="1"/>
      <w:numFmt w:val="lowerLetter"/>
      <w:lvlText w:val="%5."/>
      <w:lvlJc w:val="left"/>
      <w:pPr>
        <w:ind w:left="3600" w:hanging="360"/>
      </w:pPr>
    </w:lvl>
    <w:lvl w:ilvl="5" w:tplc="73AE536E">
      <w:start w:val="1"/>
      <w:numFmt w:val="lowerRoman"/>
      <w:lvlText w:val="%6."/>
      <w:lvlJc w:val="right"/>
      <w:pPr>
        <w:ind w:left="4320" w:hanging="180"/>
      </w:pPr>
    </w:lvl>
    <w:lvl w:ilvl="6" w:tplc="2C5AE586">
      <w:start w:val="1"/>
      <w:numFmt w:val="decimal"/>
      <w:lvlText w:val="%7."/>
      <w:lvlJc w:val="left"/>
      <w:pPr>
        <w:ind w:left="5040" w:hanging="360"/>
      </w:pPr>
    </w:lvl>
    <w:lvl w:ilvl="7" w:tplc="D5944AC8">
      <w:start w:val="1"/>
      <w:numFmt w:val="lowerLetter"/>
      <w:lvlText w:val="%8."/>
      <w:lvlJc w:val="left"/>
      <w:pPr>
        <w:ind w:left="5760" w:hanging="360"/>
      </w:pPr>
    </w:lvl>
    <w:lvl w:ilvl="8" w:tplc="2E4EF5A0">
      <w:start w:val="1"/>
      <w:numFmt w:val="lowerRoman"/>
      <w:lvlText w:val="%9."/>
      <w:lvlJc w:val="right"/>
      <w:pPr>
        <w:ind w:left="6480" w:hanging="180"/>
      </w:pPr>
    </w:lvl>
  </w:abstractNum>
  <w:abstractNum w:abstractNumId="3">
    <w:nsid w:val="7B5D7A37"/>
    <w:multiLevelType w:val="hybridMultilevel"/>
    <w:tmpl w:val="E876A7F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EF4385A"/>
    <w:multiLevelType w:val="hybridMultilevel"/>
    <w:tmpl w:val="17D239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F8"/>
    <w:rsid w:val="00044068"/>
    <w:rsid w:val="000A57DC"/>
    <w:rsid w:val="000D1380"/>
    <w:rsid w:val="00104CC6"/>
    <w:rsid w:val="00126647"/>
    <w:rsid w:val="00167AAA"/>
    <w:rsid w:val="001C17E7"/>
    <w:rsid w:val="001D4EE4"/>
    <w:rsid w:val="00205E02"/>
    <w:rsid w:val="002400CE"/>
    <w:rsid w:val="00253970"/>
    <w:rsid w:val="00293DAC"/>
    <w:rsid w:val="002E0AAC"/>
    <w:rsid w:val="00347174"/>
    <w:rsid w:val="0036299C"/>
    <w:rsid w:val="003661D5"/>
    <w:rsid w:val="00383179"/>
    <w:rsid w:val="003A7666"/>
    <w:rsid w:val="00470AB6"/>
    <w:rsid w:val="004752B5"/>
    <w:rsid w:val="004B6122"/>
    <w:rsid w:val="005400E9"/>
    <w:rsid w:val="005A2196"/>
    <w:rsid w:val="005A5FD4"/>
    <w:rsid w:val="005D7631"/>
    <w:rsid w:val="006238EA"/>
    <w:rsid w:val="00636EEC"/>
    <w:rsid w:val="00742BE7"/>
    <w:rsid w:val="00766ADF"/>
    <w:rsid w:val="007759B7"/>
    <w:rsid w:val="00794AB9"/>
    <w:rsid w:val="007A0329"/>
    <w:rsid w:val="007F1FBD"/>
    <w:rsid w:val="008548F8"/>
    <w:rsid w:val="00866E76"/>
    <w:rsid w:val="008E441C"/>
    <w:rsid w:val="00903913"/>
    <w:rsid w:val="009B5F46"/>
    <w:rsid w:val="009D35B8"/>
    <w:rsid w:val="00AF2FB9"/>
    <w:rsid w:val="00B004D9"/>
    <w:rsid w:val="00C13311"/>
    <w:rsid w:val="00C9410B"/>
    <w:rsid w:val="00CA0C29"/>
    <w:rsid w:val="00CC64D8"/>
    <w:rsid w:val="00CD62DA"/>
    <w:rsid w:val="00D34A88"/>
    <w:rsid w:val="00D72FB4"/>
    <w:rsid w:val="00DC45CC"/>
    <w:rsid w:val="00DE6E60"/>
    <w:rsid w:val="00DF43F8"/>
    <w:rsid w:val="00E37063"/>
    <w:rsid w:val="00EC6DFA"/>
    <w:rsid w:val="00F71C0D"/>
    <w:rsid w:val="00F738A9"/>
    <w:rsid w:val="00F847C5"/>
    <w:rsid w:val="00FD48CF"/>
    <w:rsid w:val="00FF6B78"/>
    <w:rsid w:val="00FF74EA"/>
    <w:rsid w:val="152D8AFF"/>
    <w:rsid w:val="2BBCC879"/>
    <w:rsid w:val="3060DD5B"/>
    <w:rsid w:val="378612E8"/>
    <w:rsid w:val="3CC282F7"/>
    <w:rsid w:val="4D6646EC"/>
    <w:rsid w:val="54E3DAFE"/>
    <w:rsid w:val="590AF813"/>
    <w:rsid w:val="5C0C6CF0"/>
    <w:rsid w:val="6B8F5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7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F8"/>
    <w:pPr>
      <w:ind w:left="720"/>
      <w:contextualSpacing/>
    </w:pPr>
  </w:style>
  <w:style w:type="paragraph" w:styleId="FootnoteText">
    <w:name w:val="footnote text"/>
    <w:basedOn w:val="Normal"/>
    <w:link w:val="FootnoteTextChar"/>
    <w:uiPriority w:val="99"/>
    <w:semiHidden/>
    <w:unhideWhenUsed/>
    <w:rsid w:val="00205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E02"/>
    <w:rPr>
      <w:sz w:val="20"/>
      <w:szCs w:val="20"/>
    </w:rPr>
  </w:style>
  <w:style w:type="character" w:styleId="FootnoteReference">
    <w:name w:val="footnote reference"/>
    <w:basedOn w:val="DefaultParagraphFont"/>
    <w:uiPriority w:val="99"/>
    <w:semiHidden/>
    <w:unhideWhenUsed/>
    <w:rsid w:val="00205E02"/>
    <w:rPr>
      <w:vertAlign w:val="superscript"/>
    </w:rPr>
  </w:style>
  <w:style w:type="paragraph" w:styleId="BalloonText">
    <w:name w:val="Balloon Text"/>
    <w:basedOn w:val="Normal"/>
    <w:link w:val="BalloonTextChar"/>
    <w:uiPriority w:val="99"/>
    <w:semiHidden/>
    <w:unhideWhenUsed/>
    <w:rsid w:val="00794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B9"/>
    <w:rPr>
      <w:rFonts w:ascii="Segoe UI" w:hAnsi="Segoe UI" w:cs="Segoe UI"/>
      <w:sz w:val="18"/>
      <w:szCs w:val="18"/>
    </w:rPr>
  </w:style>
  <w:style w:type="paragraph" w:styleId="Header">
    <w:name w:val="header"/>
    <w:basedOn w:val="Normal"/>
    <w:link w:val="HeaderChar"/>
    <w:uiPriority w:val="99"/>
    <w:unhideWhenUsed/>
    <w:rsid w:val="00794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AB9"/>
  </w:style>
  <w:style w:type="paragraph" w:styleId="Footer">
    <w:name w:val="footer"/>
    <w:basedOn w:val="Normal"/>
    <w:link w:val="FooterChar"/>
    <w:uiPriority w:val="99"/>
    <w:unhideWhenUsed/>
    <w:rsid w:val="0079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B9"/>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character" w:customStyle="1" w:styleId="UnresolvedMention">
    <w:name w:val="Unresolved Mention"/>
    <w:basedOn w:val="DefaultParagraphFont"/>
    <w:uiPriority w:val="99"/>
    <w:semiHidden/>
    <w:unhideWhenUsed/>
    <w:rsid w:val="00D72FB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F8"/>
    <w:pPr>
      <w:ind w:left="720"/>
      <w:contextualSpacing/>
    </w:pPr>
  </w:style>
  <w:style w:type="paragraph" w:styleId="FootnoteText">
    <w:name w:val="footnote text"/>
    <w:basedOn w:val="Normal"/>
    <w:link w:val="FootnoteTextChar"/>
    <w:uiPriority w:val="99"/>
    <w:semiHidden/>
    <w:unhideWhenUsed/>
    <w:rsid w:val="00205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E02"/>
    <w:rPr>
      <w:sz w:val="20"/>
      <w:szCs w:val="20"/>
    </w:rPr>
  </w:style>
  <w:style w:type="character" w:styleId="FootnoteReference">
    <w:name w:val="footnote reference"/>
    <w:basedOn w:val="DefaultParagraphFont"/>
    <w:uiPriority w:val="99"/>
    <w:semiHidden/>
    <w:unhideWhenUsed/>
    <w:rsid w:val="00205E02"/>
    <w:rPr>
      <w:vertAlign w:val="superscript"/>
    </w:rPr>
  </w:style>
  <w:style w:type="paragraph" w:styleId="BalloonText">
    <w:name w:val="Balloon Text"/>
    <w:basedOn w:val="Normal"/>
    <w:link w:val="BalloonTextChar"/>
    <w:uiPriority w:val="99"/>
    <w:semiHidden/>
    <w:unhideWhenUsed/>
    <w:rsid w:val="00794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B9"/>
    <w:rPr>
      <w:rFonts w:ascii="Segoe UI" w:hAnsi="Segoe UI" w:cs="Segoe UI"/>
      <w:sz w:val="18"/>
      <w:szCs w:val="18"/>
    </w:rPr>
  </w:style>
  <w:style w:type="paragraph" w:styleId="Header">
    <w:name w:val="header"/>
    <w:basedOn w:val="Normal"/>
    <w:link w:val="HeaderChar"/>
    <w:uiPriority w:val="99"/>
    <w:unhideWhenUsed/>
    <w:rsid w:val="00794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AB9"/>
  </w:style>
  <w:style w:type="paragraph" w:styleId="Footer">
    <w:name w:val="footer"/>
    <w:basedOn w:val="Normal"/>
    <w:link w:val="FooterChar"/>
    <w:uiPriority w:val="99"/>
    <w:unhideWhenUsed/>
    <w:rsid w:val="0079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B9"/>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character" w:customStyle="1" w:styleId="UnresolvedMention">
    <w:name w:val="Unresolved Mention"/>
    <w:basedOn w:val="DefaultParagraphFont"/>
    <w:uiPriority w:val="99"/>
    <w:semiHidden/>
    <w:unhideWhenUsed/>
    <w:rsid w:val="00D72F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2.gov.bc.ca/gov/content/safety/public-safety/protecting-children/reporting-child-abuse" TargetMode="External"/><Relationship Id="rId4" Type="http://schemas.microsoft.com/office/2007/relationships/stylesWithEffects" Target="stylesWithEffects.xml"/><Relationship Id="rId9" Type="http://schemas.openxmlformats.org/officeDocument/2006/relationships/hyperlink" Target="mailto:annika.lund@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9090-456F-42C5-9AC7-495347CB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521</Words>
  <Characters>2970</Characters>
  <Application>Microsoft Office Word</Application>
  <DocSecurity>0</DocSecurity>
  <Lines>24</Lines>
  <Paragraphs>6</Paragraphs>
  <ScaleCrop>false</ScaleCrop>
  <Company>Microsoft</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Jones</dc:creator>
  <cp:lastModifiedBy>Ben Baird</cp:lastModifiedBy>
  <cp:revision>42</cp:revision>
  <cp:lastPrinted>2015-11-20T00:29:00Z</cp:lastPrinted>
  <dcterms:created xsi:type="dcterms:W3CDTF">2015-11-20T01:20:00Z</dcterms:created>
  <dcterms:modified xsi:type="dcterms:W3CDTF">2017-11-18T22:12:00Z</dcterms:modified>
</cp:coreProperties>
</file>